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Полное наименование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РЕГИОНАЛЬНАЯ ОБЩЕСТВЕННАЯ ОРГАНИЗАЦИЯ "РАЗВИТИЕ СЕВАСТОПОЛЬСКИХ ПАРКОВ "СЕВПАРКИ"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Сокращенное наименование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РОО "РСП "СЕВПАРКИ"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ОГРН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1169204055789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Дата регистрации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30.05.2016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Адрес места нахождения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299038, г. Севастополь, ул. Астана Кесаева, д. 5/8, кв. 40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ИНН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9201515817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КПП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920101001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Должность руководителя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Руководитель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Руководитель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Ольга Сергеевна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ИНН руководителя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910225809578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ОКПО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02748501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ОКАТО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67264000000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ОКТМО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67310000000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ОКОГУ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4220000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ОКФС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ОКОПФ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20200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Рег. Номер ПФР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092 001 032627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Рег. Номер ФСС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9200013787 92001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Расчетный счет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№ счета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40703810630000000877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Корр. счет банка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30101810345250000253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040349602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Банк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Краснодарское отделение N8619 ПАО СБЕРБАНК г. Краснодар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vnac5Ak1cfAF2NpKdob/qFMlQ==">AMUW2mUOXnBYi1SkxfgS82+GHp0zGIJF3WRivF2ftvm7h5mT3UnXD5TuqGu0i5v0U6JDCjKrew/8Pt3AwdH7QJ/LLLDO4H59YrJwQPW4cBVwe1SZUmBxvZTiXiMMmJvm68JyxkWTds/B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2018-07-25T09:39:00Z</dcterms:created>
</cp:coreProperties>
</file>